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1D0CA" w14:textId="0811C27B" w:rsidR="009E638A" w:rsidRPr="00451E70" w:rsidRDefault="009E638A" w:rsidP="00451E70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ellaelenco3-colore1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400"/>
        <w:gridCol w:w="2720"/>
        <w:gridCol w:w="4480"/>
      </w:tblGrid>
      <w:tr w:rsidR="009E638A" w:rsidRPr="009E638A" w14:paraId="14AF1971" w14:textId="77777777" w:rsidTr="00DB4B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60" w:type="dxa"/>
            <w:gridSpan w:val="4"/>
            <w:vAlign w:val="center"/>
            <w:hideMark/>
          </w:tcPr>
          <w:p w14:paraId="6E5A2E4C" w14:textId="77777777" w:rsidR="009E638A" w:rsidRPr="009E638A" w:rsidRDefault="009E638A" w:rsidP="009E638A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  <w:t>Controlli automatici del sistema informativo ReGiS</w:t>
            </w:r>
            <w:r w:rsidRPr="009E638A">
              <w:rPr>
                <w:rFonts w:ascii="Arial" w:eastAsia="Times New Roman" w:hAnsi="Arial" w:cs="Arial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  <w:br/>
              <w:t>Richieste di trasferimento a titolo di pagamento intermedio</w:t>
            </w:r>
          </w:p>
        </w:tc>
      </w:tr>
      <w:tr w:rsidR="009E638A" w:rsidRPr="009E638A" w14:paraId="190DFAC7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shd w:val="clear" w:color="auto" w:fill="DAE9F7" w:themeFill="text2" w:themeFillTint="1A"/>
            <w:vAlign w:val="center"/>
            <w:hideMark/>
          </w:tcPr>
          <w:p w14:paraId="1C6FB309" w14:textId="77777777" w:rsidR="009E638A" w:rsidRPr="009E638A" w:rsidRDefault="009E638A" w:rsidP="009E638A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Codice Controllo</w:t>
            </w:r>
          </w:p>
        </w:tc>
        <w:tc>
          <w:tcPr>
            <w:tcW w:w="1400" w:type="dxa"/>
            <w:shd w:val="clear" w:color="auto" w:fill="DAE9F7" w:themeFill="text2" w:themeFillTint="1A"/>
            <w:vAlign w:val="center"/>
            <w:hideMark/>
          </w:tcPr>
          <w:p w14:paraId="04340F7A" w14:textId="77777777" w:rsidR="009E638A" w:rsidRPr="009E638A" w:rsidRDefault="009E638A" w:rsidP="009E6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Sezioni</w:t>
            </w: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ReGiS</w:t>
            </w:r>
          </w:p>
        </w:tc>
        <w:tc>
          <w:tcPr>
            <w:tcW w:w="2720" w:type="dxa"/>
            <w:shd w:val="clear" w:color="auto" w:fill="DAE9F7" w:themeFill="text2" w:themeFillTint="1A"/>
            <w:vAlign w:val="center"/>
            <w:hideMark/>
          </w:tcPr>
          <w:p w14:paraId="5C427F6E" w14:textId="77777777" w:rsidR="009E638A" w:rsidRPr="009E638A" w:rsidRDefault="009E638A" w:rsidP="009E6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Tipologia</w:t>
            </w: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Controllo</w:t>
            </w:r>
          </w:p>
        </w:tc>
        <w:tc>
          <w:tcPr>
            <w:tcW w:w="4480" w:type="dxa"/>
            <w:shd w:val="clear" w:color="auto" w:fill="DAE9F7" w:themeFill="text2" w:themeFillTint="1A"/>
            <w:vAlign w:val="center"/>
            <w:hideMark/>
          </w:tcPr>
          <w:p w14:paraId="7E1F7D11" w14:textId="77777777" w:rsidR="009E638A" w:rsidRPr="009E638A" w:rsidRDefault="009E638A" w:rsidP="009E6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Descrizione</w:t>
            </w:r>
            <w:r w:rsidRPr="009E638A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Controllo</w:t>
            </w:r>
          </w:p>
        </w:tc>
      </w:tr>
      <w:tr w:rsidR="009E638A" w:rsidRPr="009E638A" w14:paraId="1BCD0471" w14:textId="77777777" w:rsidTr="00DB4B8D">
        <w:trPr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85A52AC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010</w:t>
            </w:r>
          </w:p>
        </w:tc>
        <w:tc>
          <w:tcPr>
            <w:tcW w:w="1400" w:type="dxa"/>
            <w:vAlign w:val="center"/>
            <w:hideMark/>
          </w:tcPr>
          <w:p w14:paraId="4C227B08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vAlign w:val="center"/>
            <w:hideMark/>
          </w:tcPr>
          <w:p w14:paraId="61D6C6F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dello stato del CUP</w:t>
            </w:r>
          </w:p>
        </w:tc>
        <w:tc>
          <w:tcPr>
            <w:tcW w:w="4480" w:type="dxa"/>
            <w:vAlign w:val="center"/>
            <w:hideMark/>
          </w:tcPr>
          <w:p w14:paraId="079C8CAA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lo stato del CUP (informazione proveniente dal DIPE) non abbia uno stato diverso da Attivo o Chiuso e che lo stato del progetto selezionato non sia settato in “Cancellato”</w:t>
            </w:r>
          </w:p>
        </w:tc>
      </w:tr>
      <w:tr w:rsidR="009E638A" w:rsidRPr="009E638A" w14:paraId="162CD78B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3301CBF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025A</w:t>
            </w:r>
          </w:p>
        </w:tc>
        <w:tc>
          <w:tcPr>
            <w:tcW w:w="1400" w:type="dxa"/>
            <w:vAlign w:val="center"/>
            <w:hideMark/>
          </w:tcPr>
          <w:p w14:paraId="07CB9FFC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vAlign w:val="center"/>
            <w:hideMark/>
          </w:tcPr>
          <w:p w14:paraId="29C53CCC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di inizio/fine previste/effettive registrate in anagrafica di progetto</w:t>
            </w:r>
          </w:p>
        </w:tc>
        <w:tc>
          <w:tcPr>
            <w:tcW w:w="4480" w:type="dxa"/>
            <w:vAlign w:val="center"/>
            <w:hideMark/>
          </w:tcPr>
          <w:p w14:paraId="0EBA251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le date di: i) inizio/fine prevista rientrino nel range 01.01.2014 e 31.12.2035; ii) inizio/fine effettiva rientrino nel range 01.01.2014 e data di osservazione del dato</w:t>
            </w:r>
          </w:p>
        </w:tc>
      </w:tr>
      <w:tr w:rsidR="009E638A" w:rsidRPr="009E638A" w14:paraId="7649C80D" w14:textId="77777777" w:rsidTr="00DB4B8D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155A538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031</w:t>
            </w:r>
          </w:p>
        </w:tc>
        <w:tc>
          <w:tcPr>
            <w:tcW w:w="1400" w:type="dxa"/>
            <w:vAlign w:val="center"/>
            <w:hideMark/>
          </w:tcPr>
          <w:p w14:paraId="5DB0383F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vAlign w:val="center"/>
            <w:hideMark/>
          </w:tcPr>
          <w:p w14:paraId="4C6AC019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del medesimo progetto (CUP) su diverse misure</w:t>
            </w:r>
          </w:p>
        </w:tc>
        <w:tc>
          <w:tcPr>
            <w:tcW w:w="4480" w:type="dxa"/>
            <w:vAlign w:val="center"/>
            <w:hideMark/>
          </w:tcPr>
          <w:p w14:paraId="3658588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del medesimo progetto (CUP) su diverse misure</w:t>
            </w:r>
          </w:p>
        </w:tc>
      </w:tr>
      <w:tr w:rsidR="009E638A" w:rsidRPr="009E638A" w14:paraId="722D7D0D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D51EC26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056</w:t>
            </w:r>
          </w:p>
        </w:tc>
        <w:tc>
          <w:tcPr>
            <w:tcW w:w="1400" w:type="dxa"/>
            <w:vAlign w:val="center"/>
            <w:hideMark/>
          </w:tcPr>
          <w:p w14:paraId="2ADD5F5C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vAlign w:val="center"/>
            <w:hideMark/>
          </w:tcPr>
          <w:p w14:paraId="09A01DA6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data effettiva di progetto</w:t>
            </w:r>
          </w:p>
        </w:tc>
        <w:tc>
          <w:tcPr>
            <w:tcW w:w="4480" w:type="dxa"/>
            <w:vAlign w:val="center"/>
            <w:hideMark/>
          </w:tcPr>
          <w:p w14:paraId="5E9E18E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della data di inizio/fine effettiva in anagrafica di progetto, laddove le date previste siano antecedente alla data di osservazione</w:t>
            </w:r>
          </w:p>
        </w:tc>
      </w:tr>
      <w:tr w:rsidR="009E638A" w:rsidRPr="009E638A" w14:paraId="67318631" w14:textId="77777777" w:rsidTr="00DB4B8D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33FF72F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058</w:t>
            </w:r>
          </w:p>
        </w:tc>
        <w:tc>
          <w:tcPr>
            <w:tcW w:w="1400" w:type="dxa"/>
            <w:vAlign w:val="center"/>
            <w:hideMark/>
          </w:tcPr>
          <w:p w14:paraId="47FA7D7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 w:type="page"/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6FAB612B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delle annualità nel Piano dei Costi rispetto all'intervallo di date di inizio e fine dell'Anagrafica progetto</w:t>
            </w:r>
          </w:p>
        </w:tc>
        <w:tc>
          <w:tcPr>
            <w:tcW w:w="4480" w:type="dxa"/>
            <w:vAlign w:val="center"/>
            <w:hideMark/>
          </w:tcPr>
          <w:p w14:paraId="1CBBAEE7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annualità nel Piano dei Costi che non rientrano nell’intervallo di date di inizio e fine presenti in anagrafica di progetto</w:t>
            </w:r>
          </w:p>
        </w:tc>
      </w:tr>
      <w:tr w:rsidR="009E638A" w:rsidRPr="009E638A" w14:paraId="592CB4E5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71F6016E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004</w:t>
            </w:r>
          </w:p>
        </w:tc>
        <w:tc>
          <w:tcPr>
            <w:tcW w:w="1400" w:type="dxa"/>
            <w:vAlign w:val="center"/>
            <w:hideMark/>
          </w:tcPr>
          <w:p w14:paraId="05A1CDEE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</w:p>
        </w:tc>
        <w:tc>
          <w:tcPr>
            <w:tcW w:w="2720" w:type="dxa"/>
            <w:vAlign w:val="center"/>
            <w:hideMark/>
          </w:tcPr>
          <w:p w14:paraId="2B65C568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finanziamento</w:t>
            </w:r>
          </w:p>
        </w:tc>
        <w:tc>
          <w:tcPr>
            <w:tcW w:w="4480" w:type="dxa"/>
            <w:vAlign w:val="center"/>
            <w:hideMark/>
          </w:tcPr>
          <w:p w14:paraId="7A52E51E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di almeno una fonte di finanziamento nel progetto selezionato</w:t>
            </w:r>
          </w:p>
        </w:tc>
      </w:tr>
      <w:tr w:rsidR="009E638A" w:rsidRPr="009E638A" w14:paraId="28EBA675" w14:textId="77777777" w:rsidTr="00DB4B8D">
        <w:trPr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3249EEB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020</w:t>
            </w:r>
          </w:p>
        </w:tc>
        <w:tc>
          <w:tcPr>
            <w:tcW w:w="1400" w:type="dxa"/>
            <w:vAlign w:val="center"/>
            <w:hideMark/>
          </w:tcPr>
          <w:p w14:paraId="4EF15C29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</w:p>
        </w:tc>
        <w:tc>
          <w:tcPr>
            <w:tcW w:w="2720" w:type="dxa"/>
            <w:vAlign w:val="center"/>
            <w:hideMark/>
          </w:tcPr>
          <w:p w14:paraId="1C6972FA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fonti di finanziamento e finanziamento totale del progetto</w:t>
            </w:r>
          </w:p>
        </w:tc>
        <w:tc>
          <w:tcPr>
            <w:tcW w:w="4480" w:type="dxa"/>
            <w:vAlign w:val="center"/>
            <w:hideMark/>
          </w:tcPr>
          <w:p w14:paraId="146CB1BF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sul progetto siano state dettagliate tutte le fonti di finanziamento previste. La somma degli importi riportati su ciascuna fonte deve coincidere con l’importo totale del progetto</w:t>
            </w:r>
          </w:p>
        </w:tc>
      </w:tr>
      <w:tr w:rsidR="009E638A" w:rsidRPr="009E638A" w14:paraId="5F8B8A34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735DA793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042</w:t>
            </w:r>
          </w:p>
        </w:tc>
        <w:tc>
          <w:tcPr>
            <w:tcW w:w="1400" w:type="dxa"/>
            <w:vAlign w:val="center"/>
            <w:hideMark/>
          </w:tcPr>
          <w:p w14:paraId="6AF2A0C5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790E94D5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 importo realizzato del piano dei costi pari al finanziamento totale del progetto</w:t>
            </w:r>
          </w:p>
        </w:tc>
        <w:tc>
          <w:tcPr>
            <w:tcW w:w="4480" w:type="dxa"/>
            <w:vAlign w:val="center"/>
            <w:hideMark/>
          </w:tcPr>
          <w:p w14:paraId="3F70A58B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nel caso di stato CUP "Chiuso" o stato progetto "Concluso", il piano dei costi abbia l'intero importo realizzato pari al finanziamento totale del progetto (al netto di economie)</w:t>
            </w:r>
          </w:p>
        </w:tc>
      </w:tr>
      <w:tr w:rsidR="009E638A" w:rsidRPr="009E638A" w14:paraId="3C6FEC02" w14:textId="77777777" w:rsidTr="00DB4B8D">
        <w:trPr>
          <w:trHeight w:val="1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741DC63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015</w:t>
            </w:r>
          </w:p>
        </w:tc>
        <w:tc>
          <w:tcPr>
            <w:tcW w:w="1400" w:type="dxa"/>
            <w:vAlign w:val="center"/>
            <w:hideMark/>
          </w:tcPr>
          <w:p w14:paraId="04B0803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Quadro economico</w:t>
            </w:r>
          </w:p>
        </w:tc>
        <w:tc>
          <w:tcPr>
            <w:tcW w:w="2720" w:type="dxa"/>
            <w:vAlign w:val="center"/>
            <w:hideMark/>
          </w:tcPr>
          <w:p w14:paraId="02342F1B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finanziamenti (al netto delle economie), piano dei costi e quadro economico (se valorizzato)</w:t>
            </w:r>
          </w:p>
        </w:tc>
        <w:tc>
          <w:tcPr>
            <w:tcW w:w="4480" w:type="dxa"/>
            <w:vAlign w:val="center"/>
            <w:hideMark/>
          </w:tcPr>
          <w:p w14:paraId="26FFBFDB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verifica, per ciascun progetto, che le somme relative al quadro economico (ove sia valorizzato), al piano dei costi (considerando la sommatoria degli importi da realizzare e quelli realizzati) e ai finanziamenti (al netto delle economie ove ci fossero) abbiano lo stesso importo; laddove il quadro economico non fosse valorizzato, il controllo va a verificare sono la congruenza tra gli importi del piano dei costi e del finanziamento</w:t>
            </w:r>
          </w:p>
        </w:tc>
      </w:tr>
      <w:tr w:rsidR="009E638A" w:rsidRPr="009E638A" w14:paraId="6E8881A8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CBDE317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047</w:t>
            </w:r>
          </w:p>
        </w:tc>
        <w:tc>
          <w:tcPr>
            <w:tcW w:w="1400" w:type="dxa"/>
            <w:vAlign w:val="center"/>
            <w:hideMark/>
          </w:tcPr>
          <w:p w14:paraId="0BBDC57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0A4C62F6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coerenza tra l’importo richiesto dei pagamenti (al netto delle rettifiche) e il Finanziamento PNRR + FOI</w:t>
            </w:r>
          </w:p>
        </w:tc>
        <w:tc>
          <w:tcPr>
            <w:tcW w:w="4480" w:type="dxa"/>
            <w:vAlign w:val="center"/>
            <w:hideMark/>
          </w:tcPr>
          <w:p w14:paraId="2F7D21D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l’importo richiesto totale dei pagamenti non superi l'importo dei finanziamenti PNRR e quella dei finanziamenti FOI</w:t>
            </w:r>
          </w:p>
        </w:tc>
      </w:tr>
      <w:tr w:rsidR="009E638A" w:rsidRPr="009E638A" w14:paraId="35A5F502" w14:textId="77777777" w:rsidTr="00DB4B8D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5E30598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025E</w:t>
            </w:r>
          </w:p>
        </w:tc>
        <w:tc>
          <w:tcPr>
            <w:tcW w:w="1400" w:type="dxa"/>
            <w:vAlign w:val="center"/>
            <w:hideMark/>
          </w:tcPr>
          <w:p w14:paraId="715A398F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Giustificativi</w:t>
            </w:r>
          </w:p>
        </w:tc>
        <w:tc>
          <w:tcPr>
            <w:tcW w:w="2720" w:type="dxa"/>
            <w:vAlign w:val="center"/>
            <w:hideMark/>
          </w:tcPr>
          <w:p w14:paraId="2D5F1CA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dei giustificativi di spesa</w:t>
            </w:r>
          </w:p>
        </w:tc>
        <w:tc>
          <w:tcPr>
            <w:tcW w:w="4480" w:type="dxa"/>
            <w:vAlign w:val="center"/>
            <w:hideMark/>
          </w:tcPr>
          <w:p w14:paraId="34DA4C18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giustificativi di spesa con date al di fuori del range prestabilito (01.01.2014 - data di osservazione del dato)</w:t>
            </w:r>
          </w:p>
        </w:tc>
      </w:tr>
      <w:tr w:rsidR="009E638A" w:rsidRPr="009E638A" w14:paraId="3EC35472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3AB521B9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009</w:t>
            </w:r>
          </w:p>
        </w:tc>
        <w:tc>
          <w:tcPr>
            <w:tcW w:w="1400" w:type="dxa"/>
            <w:vAlign w:val="center"/>
            <w:hideMark/>
          </w:tcPr>
          <w:p w14:paraId="51DB816F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vAlign w:val="center"/>
            <w:hideMark/>
          </w:tcPr>
          <w:p w14:paraId="6D01673F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Presenza di almeno un indicatore di progetto non cancellato logicamente</w:t>
            </w:r>
          </w:p>
        </w:tc>
        <w:tc>
          <w:tcPr>
            <w:tcW w:w="4480" w:type="dxa"/>
            <w:vAlign w:val="center"/>
            <w:hideMark/>
          </w:tcPr>
          <w:p w14:paraId="69E2D99D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almeno un indicatore nelle tabelle degli Indicatori Comuni e di Output, per i quali non siano stato ritenuti “Non pertinente” dal SA, o tra quelli di Target per i quali non siano stati cancellati logicamente dalle amministrazioni</w:t>
            </w:r>
          </w:p>
        </w:tc>
      </w:tr>
      <w:tr w:rsidR="009E638A" w:rsidRPr="009E638A" w14:paraId="34DFF735" w14:textId="77777777" w:rsidTr="00DB4B8D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68B6F48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013</w:t>
            </w:r>
          </w:p>
        </w:tc>
        <w:tc>
          <w:tcPr>
            <w:tcW w:w="1400" w:type="dxa"/>
            <w:vAlign w:val="center"/>
            <w:hideMark/>
          </w:tcPr>
          <w:p w14:paraId="0E38FD25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vAlign w:val="center"/>
            <w:hideMark/>
          </w:tcPr>
          <w:p w14:paraId="3B541BB4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valore programmato degli indicatori target associati al progetto</w:t>
            </w:r>
          </w:p>
        </w:tc>
        <w:tc>
          <w:tcPr>
            <w:tcW w:w="4480" w:type="dxa"/>
            <w:vAlign w:val="center"/>
            <w:hideMark/>
          </w:tcPr>
          <w:p w14:paraId="24B7A920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per gli indicatori target sia stato imputato un valore programmato maggiore di 0</w:t>
            </w:r>
          </w:p>
        </w:tc>
      </w:tr>
      <w:tr w:rsidR="009E638A" w:rsidRPr="009E638A" w14:paraId="7DADDE37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F1B8A24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014</w:t>
            </w:r>
          </w:p>
        </w:tc>
        <w:tc>
          <w:tcPr>
            <w:tcW w:w="1400" w:type="dxa"/>
            <w:vAlign w:val="center"/>
            <w:hideMark/>
          </w:tcPr>
          <w:p w14:paraId="2E8F5169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vAlign w:val="center"/>
            <w:hideMark/>
          </w:tcPr>
          <w:p w14:paraId="4B32E3D0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delle fasi obbligatore dell'iter di progetto</w:t>
            </w:r>
          </w:p>
        </w:tc>
        <w:tc>
          <w:tcPr>
            <w:tcW w:w="4480" w:type="dxa"/>
            <w:vAlign w:val="center"/>
            <w:hideMark/>
          </w:tcPr>
          <w:p w14:paraId="7A5A8504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siano state valorizzate le date di inizio/fine prevista per ogni fase obbligatoria dell’iter procedurale</w:t>
            </w:r>
          </w:p>
        </w:tc>
      </w:tr>
      <w:tr w:rsidR="009E638A" w:rsidRPr="009E638A" w14:paraId="2D7F57A4" w14:textId="77777777" w:rsidTr="00DB4B8D">
        <w:trPr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232D640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049B</w:t>
            </w:r>
          </w:p>
        </w:tc>
        <w:tc>
          <w:tcPr>
            <w:tcW w:w="1400" w:type="dxa"/>
            <w:vAlign w:val="center"/>
            <w:hideMark/>
          </w:tcPr>
          <w:p w14:paraId="435208E0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vAlign w:val="center"/>
            <w:hideMark/>
          </w:tcPr>
          <w:p w14:paraId="3D2B58F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sulle fasi procedurali data di inizio prevista antecedente alla data di osservazione</w:t>
            </w:r>
          </w:p>
        </w:tc>
        <w:tc>
          <w:tcPr>
            <w:tcW w:w="4480" w:type="dxa"/>
            <w:vAlign w:val="center"/>
            <w:hideMark/>
          </w:tcPr>
          <w:p w14:paraId="43018CB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inizio prevista antecedente alla data di osservazione, risulti valorizzata anche la relativa data di inizio effettiva</w:t>
            </w:r>
          </w:p>
        </w:tc>
      </w:tr>
      <w:tr w:rsidR="009E638A" w:rsidRPr="009E638A" w14:paraId="3B62FCFF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951F34B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049C</w:t>
            </w:r>
          </w:p>
        </w:tc>
        <w:tc>
          <w:tcPr>
            <w:tcW w:w="1400" w:type="dxa"/>
            <w:vAlign w:val="center"/>
            <w:hideMark/>
          </w:tcPr>
          <w:p w14:paraId="27EF2704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vAlign w:val="center"/>
            <w:hideMark/>
          </w:tcPr>
          <w:p w14:paraId="1CB882B9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sulle fasi procedurali -data di fine prevista antecedente alla data di osservazione</w:t>
            </w:r>
          </w:p>
        </w:tc>
        <w:tc>
          <w:tcPr>
            <w:tcW w:w="4480" w:type="dxa"/>
            <w:vAlign w:val="center"/>
            <w:hideMark/>
          </w:tcPr>
          <w:p w14:paraId="6D7BA48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fine prevista antecedente alla data di osservazione, risulti valorizzata anche la relativa data di fine effettiva</w:t>
            </w:r>
          </w:p>
        </w:tc>
      </w:tr>
      <w:tr w:rsidR="009E638A" w:rsidRPr="009E638A" w14:paraId="76869239" w14:textId="77777777" w:rsidTr="00DB4B8D">
        <w:trPr>
          <w:trHeight w:val="8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F90A085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050B</w:t>
            </w:r>
          </w:p>
        </w:tc>
        <w:tc>
          <w:tcPr>
            <w:tcW w:w="1400" w:type="dxa"/>
            <w:vAlign w:val="center"/>
            <w:hideMark/>
          </w:tcPr>
          <w:p w14:paraId="4A6AFF0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vAlign w:val="center"/>
            <w:hideMark/>
          </w:tcPr>
          <w:p w14:paraId="05C5D0C3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range date di inizio e fine previste per ciascuna fase procedurale</w:t>
            </w:r>
          </w:p>
        </w:tc>
        <w:tc>
          <w:tcPr>
            <w:tcW w:w="4480" w:type="dxa"/>
            <w:vAlign w:val="center"/>
            <w:hideMark/>
          </w:tcPr>
          <w:p w14:paraId="10E684EF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verifica, per ciascuna fase procedurale, che le date di inizio previste non siano antecedenti al 2014 e quelle di fine previste non siano successiva al 30/06/2026</w:t>
            </w:r>
          </w:p>
        </w:tc>
      </w:tr>
      <w:tr w:rsidR="009E638A" w:rsidRPr="009E638A" w14:paraId="03C40DBD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3A486E6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053</w:t>
            </w:r>
          </w:p>
        </w:tc>
        <w:tc>
          <w:tcPr>
            <w:tcW w:w="1400" w:type="dxa"/>
            <w:vAlign w:val="center"/>
            <w:hideMark/>
          </w:tcPr>
          <w:p w14:paraId="79D7F87F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vAlign w:val="center"/>
            <w:hideMark/>
          </w:tcPr>
          <w:p w14:paraId="6D65234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data effettiva futura per ciascuna fase procedurale</w:t>
            </w:r>
          </w:p>
        </w:tc>
        <w:tc>
          <w:tcPr>
            <w:tcW w:w="4480" w:type="dxa"/>
            <w:vAlign w:val="center"/>
            <w:hideMark/>
          </w:tcPr>
          <w:p w14:paraId="5C069662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le date di inizio/fine effettiva di ciascuna fase procedurale siano antecedenti alla data di osservazione</w:t>
            </w:r>
          </w:p>
        </w:tc>
      </w:tr>
      <w:tr w:rsidR="009E638A" w:rsidRPr="009E638A" w14:paraId="50A9C8C2" w14:textId="77777777" w:rsidTr="00DB4B8D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34FC0DD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001</w:t>
            </w:r>
          </w:p>
        </w:tc>
        <w:tc>
          <w:tcPr>
            <w:tcW w:w="1400" w:type="dxa"/>
            <w:vAlign w:val="center"/>
            <w:hideMark/>
          </w:tcPr>
          <w:p w14:paraId="75A69069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Localizzazione geografica</w:t>
            </w:r>
          </w:p>
        </w:tc>
        <w:tc>
          <w:tcPr>
            <w:tcW w:w="2720" w:type="dxa"/>
            <w:vAlign w:val="center"/>
            <w:hideMark/>
          </w:tcPr>
          <w:p w14:paraId="11FEF9D8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della localizzazione geografica</w:t>
            </w:r>
          </w:p>
        </w:tc>
        <w:tc>
          <w:tcPr>
            <w:tcW w:w="4480" w:type="dxa"/>
            <w:vAlign w:val="center"/>
            <w:hideMark/>
          </w:tcPr>
          <w:p w14:paraId="7DC383F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della localizzazione geografica sul progetto selezionato</w:t>
            </w:r>
          </w:p>
        </w:tc>
      </w:tr>
      <w:tr w:rsidR="009E638A" w:rsidRPr="009E638A" w14:paraId="174D7E71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C879F68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016</w:t>
            </w:r>
          </w:p>
        </w:tc>
        <w:tc>
          <w:tcPr>
            <w:tcW w:w="1400" w:type="dxa"/>
            <w:vAlign w:val="center"/>
            <w:hideMark/>
          </w:tcPr>
          <w:p w14:paraId="19FB25F6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vAlign w:val="center"/>
            <w:hideMark/>
          </w:tcPr>
          <w:p w14:paraId="52EC054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importo impegnato e finanziamento totale</w:t>
            </w:r>
          </w:p>
        </w:tc>
        <w:tc>
          <w:tcPr>
            <w:tcW w:w="4480" w:type="dxa"/>
            <w:vAlign w:val="center"/>
            <w:hideMark/>
          </w:tcPr>
          <w:p w14:paraId="4393C731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il valore dell’impegnato (differenza tra l’importo dell’impegno e disimpegno) sia minore o uguale a quello del finanziamento totale</w:t>
            </w:r>
          </w:p>
        </w:tc>
      </w:tr>
      <w:tr w:rsidR="009E638A" w:rsidRPr="009E638A" w14:paraId="7CAF0E95" w14:textId="77777777" w:rsidTr="00DB4B8D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2F86E26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017</w:t>
            </w:r>
          </w:p>
        </w:tc>
        <w:tc>
          <w:tcPr>
            <w:tcW w:w="1400" w:type="dxa"/>
            <w:vAlign w:val="center"/>
            <w:hideMark/>
          </w:tcPr>
          <w:p w14:paraId="5FA66B04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vAlign w:val="center"/>
            <w:hideMark/>
          </w:tcPr>
          <w:p w14:paraId="0E644FA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degli importi dei disimpegni rispetto a quello degli impegni</w:t>
            </w:r>
          </w:p>
        </w:tc>
        <w:tc>
          <w:tcPr>
            <w:tcW w:w="4480" w:type="dxa"/>
            <w:vAlign w:val="center"/>
            <w:hideMark/>
          </w:tcPr>
          <w:p w14:paraId="39513D7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il valore dei disimpegni non possa essere maggiore di quello degli impegni per il progetto selezionato</w:t>
            </w:r>
          </w:p>
        </w:tc>
      </w:tr>
      <w:tr w:rsidR="009E638A" w:rsidRPr="009E638A" w14:paraId="6637BE86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2CF77F7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025B</w:t>
            </w:r>
          </w:p>
        </w:tc>
        <w:tc>
          <w:tcPr>
            <w:tcW w:w="1400" w:type="dxa"/>
            <w:vAlign w:val="center"/>
            <w:hideMark/>
          </w:tcPr>
          <w:p w14:paraId="4C3A3917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vAlign w:val="center"/>
            <w:hideMark/>
          </w:tcPr>
          <w:p w14:paraId="70ACF295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delle obbligazioni</w:t>
            </w:r>
          </w:p>
        </w:tc>
        <w:tc>
          <w:tcPr>
            <w:tcW w:w="4480" w:type="dxa"/>
            <w:vAlign w:val="center"/>
            <w:hideMark/>
          </w:tcPr>
          <w:p w14:paraId="35E3260E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obbligazioni giuridicamente vincolanti con date al di fuori del range prestabilito (01.01.2014 - data di osservazione del dato)</w:t>
            </w:r>
          </w:p>
        </w:tc>
      </w:tr>
      <w:tr w:rsidR="009E638A" w:rsidRPr="009E638A" w14:paraId="31F53F69" w14:textId="77777777" w:rsidTr="00DB4B8D">
        <w:trPr>
          <w:trHeight w:val="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039519E9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018</w:t>
            </w:r>
          </w:p>
        </w:tc>
        <w:tc>
          <w:tcPr>
            <w:tcW w:w="1400" w:type="dxa"/>
            <w:vAlign w:val="center"/>
            <w:hideMark/>
          </w:tcPr>
          <w:p w14:paraId="0A0FC375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19CA21BE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gli importi dei pagamenti e degli impegni</w:t>
            </w:r>
          </w:p>
        </w:tc>
        <w:tc>
          <w:tcPr>
            <w:tcW w:w="4480" w:type="dxa"/>
            <w:vAlign w:val="center"/>
            <w:hideMark/>
          </w:tcPr>
          <w:p w14:paraId="7A7D3F60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somma dei pagamenti non possa essere maggiore della sommatoria degli impegni per il progetto selezionato</w:t>
            </w:r>
          </w:p>
        </w:tc>
      </w:tr>
      <w:tr w:rsidR="009E638A" w:rsidRPr="009E638A" w14:paraId="5433D174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88E6A99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036</w:t>
            </w:r>
          </w:p>
        </w:tc>
        <w:tc>
          <w:tcPr>
            <w:tcW w:w="1400" w:type="dxa"/>
            <w:vAlign w:val="center"/>
            <w:hideMark/>
          </w:tcPr>
          <w:p w14:paraId="7A9C460C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58382BB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assenza di pagamenti a costi reali per anni successivi all'attuale</w:t>
            </w:r>
          </w:p>
        </w:tc>
        <w:tc>
          <w:tcPr>
            <w:tcW w:w="4480" w:type="dxa"/>
            <w:vAlign w:val="center"/>
            <w:hideMark/>
          </w:tcPr>
          <w:p w14:paraId="7DF251A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l'assenza di pagamenti a costi reali (importo totale pagamento maggiore di zero) per anni successivi all'attuale</w:t>
            </w:r>
          </w:p>
        </w:tc>
      </w:tr>
      <w:tr w:rsidR="009E638A" w:rsidRPr="009E638A" w14:paraId="35946C99" w14:textId="77777777" w:rsidTr="00DB4B8D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2F74227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036A</w:t>
            </w:r>
          </w:p>
        </w:tc>
        <w:tc>
          <w:tcPr>
            <w:tcW w:w="1400" w:type="dxa"/>
            <w:vAlign w:val="center"/>
            <w:hideMark/>
          </w:tcPr>
          <w:p w14:paraId="42B1CB67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39D50436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assenza di pagamenti a costi semplificati per anni successivi all'attuale</w:t>
            </w:r>
          </w:p>
        </w:tc>
        <w:tc>
          <w:tcPr>
            <w:tcW w:w="4480" w:type="dxa"/>
            <w:vAlign w:val="center"/>
            <w:hideMark/>
          </w:tcPr>
          <w:p w14:paraId="3C0F64A2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l'assenza di pagamenti a costi semplificati (importo totale pagamento maggiore di zero) per anni successivi all'attuale</w:t>
            </w:r>
          </w:p>
        </w:tc>
      </w:tr>
      <w:tr w:rsidR="009E638A" w:rsidRPr="009E638A" w14:paraId="33A7CA96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A1709F1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025C</w:t>
            </w:r>
          </w:p>
        </w:tc>
        <w:tc>
          <w:tcPr>
            <w:tcW w:w="1400" w:type="dxa"/>
            <w:vAlign w:val="center"/>
            <w:hideMark/>
          </w:tcPr>
          <w:p w14:paraId="00E52CA9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72EEF528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dei pagamenti a costi reali</w:t>
            </w:r>
          </w:p>
        </w:tc>
        <w:tc>
          <w:tcPr>
            <w:tcW w:w="4480" w:type="dxa"/>
            <w:vAlign w:val="center"/>
            <w:hideMark/>
          </w:tcPr>
          <w:p w14:paraId="543FEE5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pagamenti a costi reali con date al di fuori del range prestabilito (01.01.2014 - data di osservazione del dato)</w:t>
            </w:r>
          </w:p>
        </w:tc>
      </w:tr>
      <w:tr w:rsidR="009E638A" w:rsidRPr="009E638A" w14:paraId="154CE386" w14:textId="77777777" w:rsidTr="00DB4B8D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7C76CD9B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bookmarkStart w:id="0" w:name="_Hlk193361611"/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062</w:t>
            </w:r>
          </w:p>
        </w:tc>
        <w:tc>
          <w:tcPr>
            <w:tcW w:w="1400" w:type="dxa"/>
            <w:vAlign w:val="center"/>
            <w:hideMark/>
          </w:tcPr>
          <w:p w14:paraId="74BAABA4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3857A7FE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somma dei pagamenti registrati a sistema (60% dell'importo del costo realizzato)</w:t>
            </w:r>
          </w:p>
        </w:tc>
        <w:tc>
          <w:tcPr>
            <w:tcW w:w="4480" w:type="dxa"/>
            <w:vAlign w:val="center"/>
            <w:hideMark/>
          </w:tcPr>
          <w:p w14:paraId="15D48707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somma dei pagamenti registrati a sistema siano al 60% dell'importo del costo realizzato</w:t>
            </w:r>
          </w:p>
        </w:tc>
      </w:tr>
      <w:bookmarkEnd w:id="0"/>
      <w:tr w:rsidR="009E638A" w:rsidRPr="009E638A" w14:paraId="2E6CBFB7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2615E3E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007</w:t>
            </w:r>
          </w:p>
        </w:tc>
        <w:tc>
          <w:tcPr>
            <w:tcW w:w="1400" w:type="dxa"/>
            <w:vAlign w:val="center"/>
            <w:hideMark/>
          </w:tcPr>
          <w:p w14:paraId="7C6941AB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6D093275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piano dei costi</w:t>
            </w:r>
          </w:p>
        </w:tc>
        <w:tc>
          <w:tcPr>
            <w:tcW w:w="4480" w:type="dxa"/>
            <w:vAlign w:val="center"/>
            <w:hideMark/>
          </w:tcPr>
          <w:p w14:paraId="14E19DBB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 piano dei costi sul progetto selezionato</w:t>
            </w:r>
          </w:p>
        </w:tc>
      </w:tr>
      <w:tr w:rsidR="009E638A" w:rsidRPr="009E638A" w14:paraId="54CDA394" w14:textId="77777777" w:rsidTr="00DB4B8D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D038C79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032</w:t>
            </w:r>
          </w:p>
        </w:tc>
        <w:tc>
          <w:tcPr>
            <w:tcW w:w="1400" w:type="dxa"/>
            <w:vAlign w:val="center"/>
            <w:hideMark/>
          </w:tcPr>
          <w:p w14:paraId="2C30D241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67FEC859" w14:textId="27A4CDFD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degli importi da realizzare rispetto alle annualità</w:t>
            </w:r>
          </w:p>
        </w:tc>
        <w:tc>
          <w:tcPr>
            <w:tcW w:w="4480" w:type="dxa"/>
            <w:vAlign w:val="center"/>
            <w:hideMark/>
          </w:tcPr>
          <w:p w14:paraId="3458FC23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importi da realizzare per annualità antecedenti a quella in corso</w:t>
            </w:r>
          </w:p>
        </w:tc>
      </w:tr>
      <w:tr w:rsidR="009E638A" w:rsidRPr="009E638A" w14:paraId="1DE82EAF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70094EF0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033</w:t>
            </w:r>
          </w:p>
        </w:tc>
        <w:tc>
          <w:tcPr>
            <w:tcW w:w="1400" w:type="dxa"/>
            <w:vAlign w:val="center"/>
            <w:hideMark/>
          </w:tcPr>
          <w:p w14:paraId="302635CA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44EA4FBD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degli importi realizzati rispetto alle annualità</w:t>
            </w:r>
          </w:p>
        </w:tc>
        <w:tc>
          <w:tcPr>
            <w:tcW w:w="4480" w:type="dxa"/>
            <w:vAlign w:val="center"/>
            <w:hideMark/>
          </w:tcPr>
          <w:p w14:paraId="6C01D8D4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importi realizzati per annualità successive a quella in corso</w:t>
            </w:r>
          </w:p>
        </w:tc>
      </w:tr>
      <w:tr w:rsidR="009E638A" w:rsidRPr="009E638A" w14:paraId="1786C53E" w14:textId="77777777" w:rsidTr="00DB4B8D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F53B82D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059</w:t>
            </w:r>
          </w:p>
        </w:tc>
        <w:tc>
          <w:tcPr>
            <w:tcW w:w="1400" w:type="dxa"/>
            <w:vAlign w:val="center"/>
            <w:hideMark/>
          </w:tcPr>
          <w:p w14:paraId="79CD96EC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vAlign w:val="center"/>
            <w:hideMark/>
          </w:tcPr>
          <w:p w14:paraId="5F23D03F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degli importi registrati rispetto alle annualità</w:t>
            </w:r>
          </w:p>
        </w:tc>
        <w:tc>
          <w:tcPr>
            <w:tcW w:w="4480" w:type="dxa"/>
            <w:vAlign w:val="center"/>
            <w:hideMark/>
          </w:tcPr>
          <w:p w14:paraId="7BF8EC1B" w14:textId="77777777" w:rsidR="009E638A" w:rsidRPr="009E638A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gli importi non siano registrati su annualità antecedenti al 2014 e successiva 2026</w:t>
            </w:r>
          </w:p>
        </w:tc>
      </w:tr>
      <w:tr w:rsidR="009E638A" w:rsidRPr="009E638A" w14:paraId="6B8956FB" w14:textId="77777777" w:rsidTr="00DB4B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84991B3" w14:textId="77777777" w:rsidR="009E638A" w:rsidRPr="009E638A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035</w:t>
            </w:r>
          </w:p>
        </w:tc>
        <w:tc>
          <w:tcPr>
            <w:tcW w:w="1400" w:type="dxa"/>
            <w:vAlign w:val="center"/>
            <w:hideMark/>
          </w:tcPr>
          <w:p w14:paraId="29674005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Pagamenti</w:t>
            </w:r>
          </w:p>
        </w:tc>
        <w:tc>
          <w:tcPr>
            <w:tcW w:w="2720" w:type="dxa"/>
            <w:vAlign w:val="center"/>
            <w:hideMark/>
          </w:tcPr>
          <w:p w14:paraId="790FB7EF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dell'importo dei pagamenti a costi reali rispetto alla valorizzazione dell'importo realizzato del piano dei costi</w:t>
            </w:r>
          </w:p>
        </w:tc>
        <w:tc>
          <w:tcPr>
            <w:tcW w:w="4480" w:type="dxa"/>
            <w:vAlign w:val="center"/>
            <w:hideMark/>
          </w:tcPr>
          <w:p w14:paraId="6B104DE6" w14:textId="77777777" w:rsidR="009E638A" w:rsidRPr="009E638A" w:rsidRDefault="009E638A" w:rsidP="006A3D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E638A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nel caso di pagamenti a costi reali con importo maggiore di zero, la valorizzazione dell'importo realizzato all'interno del piano dei costi (che deve risultare diversa da 0)</w:t>
            </w:r>
          </w:p>
        </w:tc>
      </w:tr>
      <w:tr w:rsidR="009E638A" w:rsidRPr="009E638A" w14:paraId="7CB29225" w14:textId="77777777" w:rsidTr="00DB4B8D">
        <w:trPr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C58641D" w14:textId="77777777" w:rsidR="009E638A" w:rsidRPr="00936B18" w:rsidRDefault="009E638A" w:rsidP="006A3D60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36B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054</w:t>
            </w:r>
          </w:p>
        </w:tc>
        <w:tc>
          <w:tcPr>
            <w:tcW w:w="1400" w:type="dxa"/>
            <w:vAlign w:val="center"/>
            <w:hideMark/>
          </w:tcPr>
          <w:p w14:paraId="7605913D" w14:textId="77777777" w:rsidR="009E638A" w:rsidRPr="00936B18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36B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  <w:r w:rsidRPr="00936B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Anagrafica di progetto</w:t>
            </w:r>
          </w:p>
        </w:tc>
        <w:tc>
          <w:tcPr>
            <w:tcW w:w="2720" w:type="dxa"/>
            <w:vAlign w:val="center"/>
            <w:hideMark/>
          </w:tcPr>
          <w:p w14:paraId="4EA1BB42" w14:textId="77777777" w:rsidR="009E638A" w:rsidRPr="00936B18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36B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di almeno una procedura di gara per tutti i CUP che presentano natura 01, 02 e 03</w:t>
            </w:r>
          </w:p>
        </w:tc>
        <w:tc>
          <w:tcPr>
            <w:tcW w:w="4480" w:type="dxa"/>
            <w:vAlign w:val="center"/>
            <w:hideMark/>
          </w:tcPr>
          <w:p w14:paraId="2D99B49C" w14:textId="77777777" w:rsidR="009E638A" w:rsidRPr="00936B18" w:rsidRDefault="009E638A" w:rsidP="006A3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36B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almeno una procedura di gara per tutti i CUP che presentano natura 01, 02 e 03</w:t>
            </w:r>
          </w:p>
        </w:tc>
      </w:tr>
    </w:tbl>
    <w:p w14:paraId="4FC69073" w14:textId="77777777" w:rsidR="009E638A" w:rsidRPr="009E638A" w:rsidRDefault="009E638A" w:rsidP="006A3D60">
      <w:pPr>
        <w:jc w:val="center"/>
        <w:rPr>
          <w:rFonts w:ascii="Arial" w:hAnsi="Arial" w:cs="Arial"/>
        </w:rPr>
      </w:pPr>
    </w:p>
    <w:sectPr w:rsidR="009E638A" w:rsidRPr="009E638A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43DB" w14:textId="77777777" w:rsidR="00A56051" w:rsidRDefault="00A56051" w:rsidP="009E638A">
      <w:pPr>
        <w:spacing w:after="0" w:line="240" w:lineRule="auto"/>
      </w:pPr>
      <w:r>
        <w:separator/>
      </w:r>
    </w:p>
  </w:endnote>
  <w:endnote w:type="continuationSeparator" w:id="0">
    <w:p w14:paraId="2C997975" w14:textId="77777777" w:rsidR="00A56051" w:rsidRDefault="00A56051" w:rsidP="009E638A">
      <w:pPr>
        <w:spacing w:after="0" w:line="240" w:lineRule="auto"/>
      </w:pPr>
      <w:r>
        <w:continuationSeparator/>
      </w:r>
    </w:p>
  </w:endnote>
  <w:endnote w:type="continuationNotice" w:id="1">
    <w:p w14:paraId="0E9EFE03" w14:textId="77777777" w:rsidR="00A56051" w:rsidRDefault="00A56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7558631"/>
      <w:docPartObj>
        <w:docPartGallery w:val="Page Numbers (Bottom of Page)"/>
        <w:docPartUnique/>
      </w:docPartObj>
    </w:sdtPr>
    <w:sdtContent>
      <w:p w14:paraId="04EE6AC0" w14:textId="1B16CBAB" w:rsidR="009E638A" w:rsidRDefault="009E638A">
        <w:pPr>
          <w:pStyle w:val="Pidipagina"/>
          <w:jc w:val="right"/>
        </w:pPr>
        <w:r w:rsidRPr="009E638A">
          <w:rPr>
            <w:rFonts w:ascii="Arial" w:hAnsi="Arial" w:cs="Arial"/>
            <w:sz w:val="22"/>
            <w:szCs w:val="22"/>
          </w:rPr>
          <w:fldChar w:fldCharType="begin"/>
        </w:r>
        <w:r w:rsidRPr="009E638A">
          <w:rPr>
            <w:rFonts w:ascii="Arial" w:hAnsi="Arial" w:cs="Arial"/>
            <w:sz w:val="22"/>
            <w:szCs w:val="22"/>
          </w:rPr>
          <w:instrText>PAGE   \* MERGEFORMAT</w:instrText>
        </w:r>
        <w:r w:rsidRPr="009E638A">
          <w:rPr>
            <w:rFonts w:ascii="Arial" w:hAnsi="Arial" w:cs="Arial"/>
            <w:sz w:val="22"/>
            <w:szCs w:val="22"/>
          </w:rPr>
          <w:fldChar w:fldCharType="separate"/>
        </w:r>
        <w:r w:rsidRPr="009E638A">
          <w:rPr>
            <w:rFonts w:ascii="Arial" w:hAnsi="Arial" w:cs="Arial"/>
            <w:sz w:val="22"/>
            <w:szCs w:val="22"/>
          </w:rPr>
          <w:t>2</w:t>
        </w:r>
        <w:r w:rsidRPr="009E638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4AF36723" w14:textId="77777777" w:rsidR="009E638A" w:rsidRDefault="009E6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187AD" w14:textId="77777777" w:rsidR="00A56051" w:rsidRDefault="00A56051" w:rsidP="009E638A">
      <w:pPr>
        <w:spacing w:after="0" w:line="240" w:lineRule="auto"/>
      </w:pPr>
      <w:r>
        <w:separator/>
      </w:r>
    </w:p>
  </w:footnote>
  <w:footnote w:type="continuationSeparator" w:id="0">
    <w:p w14:paraId="4EB27075" w14:textId="77777777" w:rsidR="00A56051" w:rsidRDefault="00A56051" w:rsidP="009E638A">
      <w:pPr>
        <w:spacing w:after="0" w:line="240" w:lineRule="auto"/>
      </w:pPr>
      <w:r>
        <w:continuationSeparator/>
      </w:r>
    </w:p>
  </w:footnote>
  <w:footnote w:type="continuationNotice" w:id="1">
    <w:p w14:paraId="0D65980F" w14:textId="77777777" w:rsidR="00A56051" w:rsidRDefault="00A560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ABF5" w14:textId="6B50DACD" w:rsidR="00E145F3" w:rsidRDefault="00222928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CF8A5A" wp14:editId="5C413735">
          <wp:simplePos x="0" y="0"/>
          <wp:positionH relativeFrom="margin">
            <wp:posOffset>4003647</wp:posOffset>
          </wp:positionH>
          <wp:positionV relativeFrom="paragraph">
            <wp:posOffset>-334590</wp:posOffset>
          </wp:positionV>
          <wp:extent cx="2087880" cy="539750"/>
          <wp:effectExtent l="0" t="0" r="7620" b="0"/>
          <wp:wrapSquare wrapText="bothSides"/>
          <wp:docPr id="1303813676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2071">
      <w:rPr>
        <w:noProof/>
      </w:rPr>
      <w:drawing>
        <wp:anchor distT="0" distB="0" distL="114300" distR="114300" simplePos="0" relativeHeight="251659264" behindDoc="0" locked="0" layoutInCell="1" allowOverlap="1" wp14:anchorId="24F8E845" wp14:editId="360774AA">
          <wp:simplePos x="0" y="0"/>
          <wp:positionH relativeFrom="margin">
            <wp:posOffset>0</wp:posOffset>
          </wp:positionH>
          <wp:positionV relativeFrom="paragraph">
            <wp:posOffset>-341602</wp:posOffset>
          </wp:positionV>
          <wp:extent cx="2087880" cy="539750"/>
          <wp:effectExtent l="0" t="0" r="7620" b="0"/>
          <wp:wrapThrough wrapText="bothSides">
            <wp:wrapPolygon edited="0">
              <wp:start x="0" y="0"/>
              <wp:lineTo x="0" y="20584"/>
              <wp:lineTo x="21482" y="20584"/>
              <wp:lineTo x="21482" y="0"/>
              <wp:lineTo x="0" y="0"/>
            </wp:wrapPolygon>
          </wp:wrapThrough>
          <wp:docPr id="589841979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145F3">
      <w:ptab w:relativeTo="margin" w:alignment="center" w:leader="none"/>
    </w:r>
    <w:r w:rsidR="00E145F3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38A"/>
    <w:rsid w:val="00181FA8"/>
    <w:rsid w:val="001A4D81"/>
    <w:rsid w:val="001A5756"/>
    <w:rsid w:val="00222928"/>
    <w:rsid w:val="00272926"/>
    <w:rsid w:val="002C09AC"/>
    <w:rsid w:val="003278F0"/>
    <w:rsid w:val="00344943"/>
    <w:rsid w:val="003D1A83"/>
    <w:rsid w:val="00451E70"/>
    <w:rsid w:val="00465498"/>
    <w:rsid w:val="005B7B92"/>
    <w:rsid w:val="00692071"/>
    <w:rsid w:val="006A3D60"/>
    <w:rsid w:val="006B3636"/>
    <w:rsid w:val="006B513D"/>
    <w:rsid w:val="00720B5A"/>
    <w:rsid w:val="00753FB0"/>
    <w:rsid w:val="007951E8"/>
    <w:rsid w:val="007E21A2"/>
    <w:rsid w:val="007F6C0E"/>
    <w:rsid w:val="008014EB"/>
    <w:rsid w:val="00807216"/>
    <w:rsid w:val="008A3870"/>
    <w:rsid w:val="00936B18"/>
    <w:rsid w:val="00956D86"/>
    <w:rsid w:val="009C6378"/>
    <w:rsid w:val="009D12C8"/>
    <w:rsid w:val="009E54BB"/>
    <w:rsid w:val="009E638A"/>
    <w:rsid w:val="00A56051"/>
    <w:rsid w:val="00B31D83"/>
    <w:rsid w:val="00B4296C"/>
    <w:rsid w:val="00B81258"/>
    <w:rsid w:val="00BC654C"/>
    <w:rsid w:val="00BE4491"/>
    <w:rsid w:val="00BE59CA"/>
    <w:rsid w:val="00C00B58"/>
    <w:rsid w:val="00C154D5"/>
    <w:rsid w:val="00CD02FD"/>
    <w:rsid w:val="00D3715C"/>
    <w:rsid w:val="00D86271"/>
    <w:rsid w:val="00DB4B8D"/>
    <w:rsid w:val="00DF4622"/>
    <w:rsid w:val="00E145F3"/>
    <w:rsid w:val="00E15A04"/>
    <w:rsid w:val="00E502DA"/>
    <w:rsid w:val="00EA7098"/>
    <w:rsid w:val="00EE6700"/>
    <w:rsid w:val="00F3677D"/>
    <w:rsid w:val="00F700B7"/>
    <w:rsid w:val="00F77A70"/>
    <w:rsid w:val="00F9588F"/>
    <w:rsid w:val="00FA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BB5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E63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E63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E63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E63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E63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E63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E63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E63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E63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63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E63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E63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E638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E638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E638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E638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E638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E638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63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E63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63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63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E63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E638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E638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E638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E63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E638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E638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9E63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638A"/>
  </w:style>
  <w:style w:type="paragraph" w:styleId="Pidipagina">
    <w:name w:val="footer"/>
    <w:basedOn w:val="Normale"/>
    <w:link w:val="PidipaginaCarattere"/>
    <w:uiPriority w:val="99"/>
    <w:unhideWhenUsed/>
    <w:rsid w:val="009E63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638A"/>
  </w:style>
  <w:style w:type="table" w:styleId="Tabellaelenco3-colore1">
    <w:name w:val="List Table 3 Accent 1"/>
    <w:basedOn w:val="Tabellanormale"/>
    <w:uiPriority w:val="48"/>
    <w:rsid w:val="00B4296C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181FA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81FA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81FA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81FA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81F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A7539.3842848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6F5EF-BC40-439D-8907-80CE32BAC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AEC2F4-4682-448E-AD59-451C39EE0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49EE7-BA5B-4749-B475-5C082C7CA036}">
  <ds:schemaRefs>
    <ds:schemaRef ds:uri="http://schemas.microsoft.com/office/2006/metadata/properties"/>
    <ds:schemaRef ds:uri="http://schemas.microsoft.com/office/infopath/2007/PartnerControls"/>
    <ds:schemaRef ds:uri="45e79e92-d36c-4fab-b56a-0e2017a2391a"/>
    <ds:schemaRef ds:uri="df1cbb73-3936-4818-8220-46e01a2ebd87"/>
  </ds:schemaRefs>
</ds:datastoreItem>
</file>

<file path=customXml/itemProps4.xml><?xml version="1.0" encoding="utf-8"?>
<ds:datastoreItem xmlns:ds="http://schemas.openxmlformats.org/officeDocument/2006/customXml" ds:itemID="{CF0332ED-6D0A-4D48-9E89-824CA9E7AF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2025-02-28T20:15:00Z</dcterms:created>
  <dcterms:modified xsi:type="dcterms:W3CDTF">2025-09-22T10:30:00Z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ediaServiceImageTags">
    <vt:lpwstr/>
  </property>
</Properties>
</file>